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F1" w:rsidRPr="00D12810" w:rsidRDefault="00692BF1" w:rsidP="00692BF1">
      <w:pPr>
        <w:widowControl/>
        <w:autoSpaceDE w:val="0"/>
        <w:autoSpaceDN w:val="0"/>
        <w:adjustRightInd w:val="0"/>
        <w:spacing w:line="600" w:lineRule="exact"/>
        <w:jc w:val="left"/>
        <w:rPr>
          <w:rFonts w:ascii="方正小标宋简体" w:eastAsia="方正小标宋简体" w:hAnsi="华文宋体"/>
          <w:color w:val="000000"/>
          <w:sz w:val="32"/>
        </w:rPr>
      </w:pPr>
      <w:r w:rsidRPr="00D12810">
        <w:rPr>
          <w:rFonts w:ascii="方正小标宋简体" w:eastAsia="方正小标宋简体" w:hAnsi="华文宋体" w:hint="eastAsia"/>
          <w:color w:val="000000"/>
          <w:sz w:val="32"/>
        </w:rPr>
        <w:t xml:space="preserve">附件一：                   </w:t>
      </w:r>
    </w:p>
    <w:p w:rsidR="00692BF1" w:rsidRPr="00D12810" w:rsidRDefault="00692BF1" w:rsidP="00692BF1">
      <w:pPr>
        <w:widowControl/>
        <w:autoSpaceDE w:val="0"/>
        <w:autoSpaceDN w:val="0"/>
        <w:adjustRightInd w:val="0"/>
        <w:spacing w:line="600" w:lineRule="exact"/>
        <w:rPr>
          <w:rFonts w:ascii="方正小标宋简体" w:eastAsia="方正小标宋简体" w:hAnsi="华文宋体"/>
          <w:color w:val="000000"/>
          <w:sz w:val="32"/>
        </w:rPr>
      </w:pPr>
      <w:r w:rsidRPr="00D12810">
        <w:rPr>
          <w:rFonts w:ascii="方正小标宋简体" w:eastAsia="方正小标宋简体" w:hAnsi="华文宋体" w:hint="eastAsia"/>
          <w:color w:val="000000"/>
          <w:sz w:val="32"/>
        </w:rPr>
        <w:t>报名回执</w:t>
      </w:r>
    </w:p>
    <w:p w:rsidR="00692BF1" w:rsidRPr="00F11FB5" w:rsidRDefault="00692BF1" w:rsidP="00692BF1">
      <w:pPr>
        <w:widowControl/>
        <w:spacing w:line="600" w:lineRule="exact"/>
        <w:rPr>
          <w:rFonts w:ascii="华文宋体" w:eastAsia="华文宋体" w:hAnsi="华文宋体"/>
          <w:color w:val="000000"/>
          <w:sz w:val="24"/>
        </w:rPr>
      </w:pP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3184"/>
        <w:gridCol w:w="1843"/>
        <w:gridCol w:w="2158"/>
      </w:tblGrid>
      <w:tr w:rsidR="00692BF1" w:rsidRPr="00CC3803" w:rsidTr="007B5B1E">
        <w:trPr>
          <w:trHeight w:val="705"/>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姓名</w:t>
            </w:r>
          </w:p>
        </w:tc>
        <w:tc>
          <w:tcPr>
            <w:tcW w:w="3184"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c>
          <w:tcPr>
            <w:tcW w:w="1843" w:type="dxa"/>
            <w:vAlign w:val="center"/>
          </w:tcPr>
          <w:p w:rsidR="00692BF1" w:rsidRPr="00F11FB5" w:rsidRDefault="00692BF1" w:rsidP="007B5B1E">
            <w:pPr>
              <w:spacing w:line="600" w:lineRule="exact"/>
              <w:rPr>
                <w:rFonts w:ascii="华文宋体" w:eastAsia="华文宋体" w:hAnsi="华文宋体"/>
                <w:color w:val="000000"/>
                <w:sz w:val="24"/>
              </w:rPr>
            </w:pPr>
            <w:r w:rsidRPr="00F11FB5">
              <w:rPr>
                <w:rFonts w:ascii="华文宋体" w:eastAsia="华文宋体" w:hAnsi="华文宋体" w:hint="eastAsia"/>
                <w:color w:val="000000"/>
                <w:sz w:val="24"/>
              </w:rPr>
              <w:t>手机号码</w:t>
            </w:r>
          </w:p>
        </w:tc>
        <w:tc>
          <w:tcPr>
            <w:tcW w:w="2158"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r>
      <w:tr w:rsidR="00692BF1" w:rsidRPr="00CC3803" w:rsidTr="007B5B1E">
        <w:trPr>
          <w:trHeight w:val="705"/>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单位</w:t>
            </w:r>
          </w:p>
        </w:tc>
        <w:tc>
          <w:tcPr>
            <w:tcW w:w="3184"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c>
          <w:tcPr>
            <w:tcW w:w="1843" w:type="dxa"/>
            <w:vAlign w:val="center"/>
          </w:tcPr>
          <w:p w:rsidR="00692BF1" w:rsidRPr="00F11FB5" w:rsidRDefault="00692BF1" w:rsidP="007B5B1E">
            <w:pPr>
              <w:spacing w:line="600" w:lineRule="exact"/>
              <w:rPr>
                <w:rFonts w:ascii="华文宋体" w:eastAsia="华文宋体" w:hAnsi="华文宋体"/>
                <w:color w:val="000000"/>
                <w:sz w:val="24"/>
              </w:rPr>
            </w:pPr>
            <w:r w:rsidRPr="00F11FB5">
              <w:rPr>
                <w:rFonts w:ascii="华文宋体" w:eastAsia="华文宋体" w:hAnsi="华文宋体" w:hint="eastAsia"/>
                <w:color w:val="000000"/>
                <w:sz w:val="24"/>
              </w:rPr>
              <w:t>职务</w:t>
            </w:r>
          </w:p>
        </w:tc>
        <w:tc>
          <w:tcPr>
            <w:tcW w:w="2158"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r>
      <w:tr w:rsidR="00692BF1" w:rsidRPr="00CC3803" w:rsidTr="007B5B1E">
        <w:trPr>
          <w:trHeight w:val="696"/>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邮箱</w:t>
            </w:r>
          </w:p>
        </w:tc>
        <w:tc>
          <w:tcPr>
            <w:tcW w:w="3184"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c>
          <w:tcPr>
            <w:tcW w:w="1843" w:type="dxa"/>
            <w:vAlign w:val="center"/>
          </w:tcPr>
          <w:p w:rsidR="00692BF1" w:rsidRPr="00F11FB5" w:rsidRDefault="00692BF1" w:rsidP="007B5B1E">
            <w:pPr>
              <w:spacing w:line="600" w:lineRule="exact"/>
              <w:rPr>
                <w:rFonts w:ascii="华文宋体" w:eastAsia="华文宋体" w:hAnsi="华文宋体"/>
                <w:color w:val="000000"/>
                <w:sz w:val="24"/>
              </w:rPr>
            </w:pPr>
            <w:r w:rsidRPr="00F11FB5">
              <w:rPr>
                <w:rFonts w:ascii="华文宋体" w:eastAsia="华文宋体" w:hAnsi="华文宋体" w:hint="eastAsia"/>
                <w:color w:val="000000"/>
                <w:sz w:val="24"/>
              </w:rPr>
              <w:t>微信号</w:t>
            </w:r>
          </w:p>
        </w:tc>
        <w:tc>
          <w:tcPr>
            <w:tcW w:w="2158" w:type="dxa"/>
            <w:vAlign w:val="center"/>
          </w:tcPr>
          <w:p w:rsidR="00692BF1" w:rsidRPr="00F11FB5" w:rsidRDefault="00692BF1" w:rsidP="007B5B1E">
            <w:pPr>
              <w:spacing w:line="600" w:lineRule="exact"/>
              <w:ind w:firstLineChars="50" w:firstLine="120"/>
              <w:rPr>
                <w:rFonts w:ascii="华文宋体" w:eastAsia="华文宋体" w:hAnsi="华文宋体"/>
                <w:color w:val="000000"/>
                <w:sz w:val="24"/>
              </w:rPr>
            </w:pPr>
          </w:p>
        </w:tc>
      </w:tr>
      <w:tr w:rsidR="00692BF1" w:rsidRPr="00CC3803" w:rsidTr="007B5B1E">
        <w:trPr>
          <w:trHeight w:val="705"/>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全国律协</w:t>
            </w:r>
          </w:p>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民委委员</w:t>
            </w:r>
          </w:p>
        </w:tc>
        <w:tc>
          <w:tcPr>
            <w:tcW w:w="3184" w:type="dxa"/>
            <w:vAlign w:val="center"/>
          </w:tcPr>
          <w:p w:rsidR="00692BF1" w:rsidRPr="00F11FB5" w:rsidRDefault="00692BF1" w:rsidP="007B5B1E">
            <w:pPr>
              <w:spacing w:line="600" w:lineRule="exact"/>
              <w:ind w:firstLineChars="100" w:firstLine="240"/>
              <w:rPr>
                <w:rFonts w:ascii="华文宋体" w:eastAsia="华文宋体" w:hAnsi="华文宋体"/>
                <w:color w:val="000000"/>
                <w:sz w:val="24"/>
              </w:rPr>
            </w:pPr>
            <w:r w:rsidRPr="00F11FB5">
              <w:rPr>
                <w:rFonts w:ascii="华文宋体" w:eastAsia="华文宋体" w:hAnsi="华文宋体" w:hint="eastAsia"/>
                <w:color w:val="000000"/>
                <w:sz w:val="24"/>
              </w:rPr>
              <w:t>是 □     否□</w:t>
            </w:r>
          </w:p>
        </w:tc>
        <w:tc>
          <w:tcPr>
            <w:tcW w:w="1843"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c>
          <w:tcPr>
            <w:tcW w:w="2158" w:type="dxa"/>
            <w:vAlign w:val="center"/>
          </w:tcPr>
          <w:p w:rsidR="00692BF1" w:rsidRPr="00F11FB5" w:rsidRDefault="00692BF1" w:rsidP="007B5B1E">
            <w:pPr>
              <w:spacing w:line="600" w:lineRule="exact"/>
              <w:ind w:firstLineChars="50" w:firstLine="120"/>
              <w:rPr>
                <w:rFonts w:ascii="华文宋体" w:eastAsia="华文宋体" w:hAnsi="华文宋体"/>
                <w:color w:val="000000"/>
                <w:sz w:val="24"/>
              </w:rPr>
            </w:pPr>
          </w:p>
        </w:tc>
      </w:tr>
      <w:tr w:rsidR="00692BF1" w:rsidRPr="00CC3803" w:rsidTr="007B5B1E">
        <w:trPr>
          <w:trHeight w:val="554"/>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备注</w:t>
            </w:r>
          </w:p>
        </w:tc>
        <w:tc>
          <w:tcPr>
            <w:tcW w:w="7185" w:type="dxa"/>
            <w:gridSpan w:val="3"/>
            <w:vAlign w:val="center"/>
          </w:tcPr>
          <w:p w:rsidR="00692BF1" w:rsidRPr="00F11FB5" w:rsidRDefault="00692BF1" w:rsidP="007B5B1E">
            <w:pPr>
              <w:spacing w:line="600" w:lineRule="exact"/>
              <w:jc w:val="left"/>
              <w:rPr>
                <w:rFonts w:ascii="华文宋体" w:eastAsia="华文宋体" w:hAnsi="华文宋体"/>
                <w:color w:val="000000"/>
                <w:sz w:val="24"/>
              </w:rPr>
            </w:pPr>
          </w:p>
        </w:tc>
      </w:tr>
      <w:tr w:rsidR="00692BF1" w:rsidRPr="00CC3803" w:rsidTr="007B5B1E">
        <w:trPr>
          <w:trHeight w:val="554"/>
        </w:trPr>
        <w:tc>
          <w:tcPr>
            <w:tcW w:w="8787" w:type="dxa"/>
            <w:gridSpan w:val="4"/>
            <w:vAlign w:val="center"/>
          </w:tcPr>
          <w:p w:rsidR="00692BF1" w:rsidRPr="00F11FB5" w:rsidRDefault="00692BF1" w:rsidP="007B5B1E">
            <w:pPr>
              <w:spacing w:line="600" w:lineRule="exact"/>
              <w:ind w:firstLineChars="800" w:firstLine="1920"/>
              <w:jc w:val="left"/>
              <w:rPr>
                <w:rFonts w:ascii="华文宋体" w:eastAsia="华文宋体" w:hAnsi="华文宋体"/>
                <w:color w:val="000000"/>
                <w:sz w:val="24"/>
              </w:rPr>
            </w:pPr>
            <w:r w:rsidRPr="00F11FB5">
              <w:rPr>
                <w:rFonts w:ascii="华文宋体" w:eastAsia="华文宋体" w:hAnsi="华文宋体" w:hint="eastAsia"/>
                <w:color w:val="000000"/>
                <w:sz w:val="24"/>
              </w:rPr>
              <w:t>以下为非全国律协民委会委员填写</w:t>
            </w:r>
          </w:p>
        </w:tc>
      </w:tr>
      <w:tr w:rsidR="00692BF1" w:rsidRPr="00CC3803" w:rsidTr="007B5B1E">
        <w:trPr>
          <w:trHeight w:val="552"/>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是否省市民（商）委委员</w:t>
            </w:r>
          </w:p>
        </w:tc>
        <w:tc>
          <w:tcPr>
            <w:tcW w:w="3184" w:type="dxa"/>
            <w:vAlign w:val="center"/>
          </w:tcPr>
          <w:p w:rsidR="00692BF1" w:rsidRPr="00F11FB5" w:rsidRDefault="00692BF1" w:rsidP="007B5B1E">
            <w:pPr>
              <w:spacing w:line="600" w:lineRule="exact"/>
              <w:ind w:firstLineChars="250" w:firstLine="600"/>
              <w:rPr>
                <w:rFonts w:ascii="华文宋体" w:eastAsia="华文宋体" w:hAnsi="华文宋体"/>
                <w:color w:val="000000"/>
                <w:sz w:val="24"/>
              </w:rPr>
            </w:pPr>
            <w:r w:rsidRPr="00F11FB5">
              <w:rPr>
                <w:rFonts w:ascii="华文宋体" w:eastAsia="华文宋体" w:hAnsi="华文宋体" w:hint="eastAsia"/>
                <w:color w:val="000000"/>
                <w:sz w:val="24"/>
              </w:rPr>
              <w:t xml:space="preserve">省      市民(商)委     </w:t>
            </w:r>
          </w:p>
        </w:tc>
        <w:tc>
          <w:tcPr>
            <w:tcW w:w="1843" w:type="dxa"/>
            <w:vAlign w:val="center"/>
          </w:tcPr>
          <w:p w:rsidR="00692BF1" w:rsidRPr="00F11FB5" w:rsidRDefault="00692BF1" w:rsidP="007B5B1E">
            <w:pPr>
              <w:spacing w:line="600" w:lineRule="exact"/>
              <w:ind w:firstLineChars="300" w:firstLine="720"/>
              <w:rPr>
                <w:rFonts w:ascii="华文宋体" w:eastAsia="华文宋体" w:hAnsi="华文宋体"/>
                <w:color w:val="000000"/>
                <w:sz w:val="24"/>
              </w:rPr>
            </w:pPr>
            <w:r w:rsidRPr="00F11FB5">
              <w:rPr>
                <w:rFonts w:ascii="华文宋体" w:eastAsia="华文宋体" w:hAnsi="华文宋体" w:hint="eastAsia"/>
                <w:color w:val="000000"/>
                <w:sz w:val="24"/>
              </w:rPr>
              <w:t>职务</w:t>
            </w:r>
          </w:p>
        </w:tc>
        <w:tc>
          <w:tcPr>
            <w:tcW w:w="2158"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r>
      <w:tr w:rsidR="00692BF1" w:rsidRPr="00CC3803" w:rsidTr="007B5B1E">
        <w:trPr>
          <w:trHeight w:val="552"/>
        </w:trPr>
        <w:tc>
          <w:tcPr>
            <w:tcW w:w="1602" w:type="dxa"/>
            <w:vAlign w:val="center"/>
          </w:tcPr>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律协其他</w:t>
            </w:r>
          </w:p>
          <w:p w:rsidR="00692BF1" w:rsidRPr="00F11FB5" w:rsidRDefault="00692BF1" w:rsidP="007B5B1E">
            <w:pPr>
              <w:spacing w:line="600" w:lineRule="exact"/>
              <w:jc w:val="center"/>
              <w:rPr>
                <w:rFonts w:ascii="华文宋体" w:eastAsia="华文宋体" w:hAnsi="华文宋体"/>
                <w:color w:val="000000"/>
                <w:sz w:val="24"/>
              </w:rPr>
            </w:pPr>
            <w:r w:rsidRPr="00F11FB5">
              <w:rPr>
                <w:rFonts w:ascii="华文宋体" w:eastAsia="华文宋体" w:hAnsi="华文宋体" w:hint="eastAsia"/>
                <w:color w:val="000000"/>
                <w:sz w:val="24"/>
              </w:rPr>
              <w:t>职务</w:t>
            </w:r>
          </w:p>
        </w:tc>
        <w:tc>
          <w:tcPr>
            <w:tcW w:w="3184" w:type="dxa"/>
            <w:vAlign w:val="center"/>
          </w:tcPr>
          <w:p w:rsidR="00692BF1" w:rsidRPr="00F11FB5" w:rsidRDefault="00692BF1" w:rsidP="007B5B1E">
            <w:pPr>
              <w:spacing w:line="600" w:lineRule="exact"/>
              <w:ind w:firstLineChars="250" w:firstLine="600"/>
              <w:rPr>
                <w:rFonts w:ascii="华文宋体" w:eastAsia="华文宋体" w:hAnsi="华文宋体"/>
                <w:color w:val="000000"/>
                <w:sz w:val="24"/>
              </w:rPr>
            </w:pPr>
          </w:p>
        </w:tc>
        <w:tc>
          <w:tcPr>
            <w:tcW w:w="1843" w:type="dxa"/>
            <w:vAlign w:val="center"/>
          </w:tcPr>
          <w:p w:rsidR="00692BF1" w:rsidRPr="00F11FB5" w:rsidRDefault="00692BF1" w:rsidP="007B5B1E">
            <w:pPr>
              <w:spacing w:line="600" w:lineRule="exact"/>
              <w:ind w:firstLineChars="300" w:firstLine="720"/>
              <w:rPr>
                <w:rFonts w:ascii="华文宋体" w:eastAsia="华文宋体" w:hAnsi="华文宋体"/>
                <w:color w:val="000000"/>
                <w:sz w:val="24"/>
              </w:rPr>
            </w:pPr>
            <w:r w:rsidRPr="00F11FB5">
              <w:rPr>
                <w:rFonts w:ascii="华文宋体" w:eastAsia="华文宋体" w:hAnsi="华文宋体" w:hint="eastAsia"/>
                <w:color w:val="000000"/>
                <w:sz w:val="24"/>
              </w:rPr>
              <w:t>职务</w:t>
            </w:r>
          </w:p>
        </w:tc>
        <w:tc>
          <w:tcPr>
            <w:tcW w:w="2158" w:type="dxa"/>
            <w:vAlign w:val="center"/>
          </w:tcPr>
          <w:p w:rsidR="00692BF1" w:rsidRPr="00F11FB5" w:rsidRDefault="00692BF1" w:rsidP="007B5B1E">
            <w:pPr>
              <w:spacing w:line="600" w:lineRule="exact"/>
              <w:jc w:val="center"/>
              <w:rPr>
                <w:rFonts w:ascii="华文宋体" w:eastAsia="华文宋体" w:hAnsi="华文宋体"/>
                <w:color w:val="000000"/>
                <w:sz w:val="24"/>
              </w:rPr>
            </w:pPr>
          </w:p>
        </w:tc>
      </w:tr>
    </w:tbl>
    <w:p w:rsidR="00692BF1" w:rsidRDefault="00692BF1" w:rsidP="00692BF1">
      <w:pPr>
        <w:widowControl/>
        <w:autoSpaceDE w:val="0"/>
        <w:autoSpaceDN w:val="0"/>
        <w:adjustRightInd w:val="0"/>
        <w:spacing w:line="600" w:lineRule="exact"/>
        <w:jc w:val="left"/>
        <w:rPr>
          <w:rFonts w:ascii="华文宋体" w:eastAsia="华文宋体" w:hAnsi="华文宋体"/>
          <w:sz w:val="28"/>
          <w:szCs w:val="28"/>
        </w:rPr>
      </w:pPr>
    </w:p>
    <w:p w:rsidR="00692BF1" w:rsidRDefault="00692BF1" w:rsidP="00692BF1">
      <w:pPr>
        <w:widowControl/>
        <w:jc w:val="left"/>
        <w:rPr>
          <w:rFonts w:ascii="华文宋体" w:eastAsia="华文宋体" w:hAnsi="华文宋体"/>
          <w:sz w:val="28"/>
          <w:szCs w:val="28"/>
        </w:rPr>
      </w:pPr>
      <w:r>
        <w:rPr>
          <w:rFonts w:ascii="华文宋体" w:eastAsia="华文宋体" w:hAnsi="华文宋体"/>
          <w:sz w:val="28"/>
          <w:szCs w:val="28"/>
        </w:rPr>
        <w:br w:type="page"/>
      </w:r>
    </w:p>
    <w:p w:rsidR="00692BF1" w:rsidRPr="00D12810" w:rsidRDefault="00692BF1" w:rsidP="00692BF1">
      <w:pPr>
        <w:widowControl/>
        <w:jc w:val="left"/>
        <w:rPr>
          <w:rFonts w:ascii="仿宋_GB2312" w:eastAsia="仿宋_GB2312" w:hAnsi="华文宋体"/>
          <w:sz w:val="32"/>
          <w:szCs w:val="32"/>
        </w:rPr>
      </w:pPr>
      <w:r w:rsidRPr="00D12810">
        <w:rPr>
          <w:rFonts w:ascii="仿宋_GB2312" w:eastAsia="仿宋_GB2312" w:hAnsi="华文宋体" w:hint="eastAsia"/>
          <w:b/>
          <w:sz w:val="32"/>
          <w:szCs w:val="32"/>
        </w:rPr>
        <w:lastRenderedPageBreak/>
        <w:t>附件二：第十八届中国民商法实务论坛论文参考题目</w:t>
      </w:r>
    </w:p>
    <w:p w:rsidR="00692BF1" w:rsidRPr="00D12810" w:rsidRDefault="00692BF1" w:rsidP="00692BF1">
      <w:pPr>
        <w:spacing w:line="600" w:lineRule="exact"/>
        <w:jc w:val="left"/>
        <w:rPr>
          <w:rFonts w:ascii="仿宋_GB2312" w:eastAsia="仿宋_GB2312" w:hAnsi="华文宋体"/>
          <w:b/>
          <w:sz w:val="32"/>
          <w:szCs w:val="32"/>
          <w:u w:val="single"/>
        </w:rPr>
      </w:pPr>
      <w:r w:rsidRPr="00D12810">
        <w:rPr>
          <w:rFonts w:ascii="仿宋_GB2312" w:eastAsia="仿宋_GB2312" w:hAnsi="华文宋体" w:hint="eastAsia"/>
          <w:b/>
          <w:sz w:val="32"/>
          <w:szCs w:val="32"/>
        </w:rPr>
        <w:t>A</w:t>
      </w:r>
      <w:r w:rsidRPr="00D12810">
        <w:rPr>
          <w:rFonts w:ascii="仿宋_GB2312" w:eastAsia="仿宋_GB2312" w:hAnsi="华文宋体" w:hint="eastAsia"/>
          <w:b/>
          <w:sz w:val="32"/>
          <w:szCs w:val="32"/>
          <w:u w:val="single"/>
        </w:rPr>
        <w:t>合同法论坛参考主题</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1、法律行为与合同制度的关系</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2、法律行为的分类与悬赏广告的效力</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3、可撤销法律行为对善意第三人的效力</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4、决议行为与合同的法律适用</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5、无效法律行为效力制度的完善</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6、冒用他人名义时表见代理制度的适用</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7、违反公司法第16条的担保合同的效力</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8、合同联立的法律适用</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9、司法解释中未生效合同制度的存废</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10、买卖合同司法解释第三条的存废</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11、合同法定解除制度与风险负担的关系</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12、履行不能制度的立法完善</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13、合同法中民法与商法的关系（合同法第157-158条，第410条等）</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14、不可抗力与情势变更的关系与在合同中适用</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15、合同法第402、403条的存废</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16、合同法第141条、第145条的解释论</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17、融资租赁合同的法律结构</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18、合同法理论发展与合同法修改</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19、仅有基本原则情形法院判例的创设作用及司法解释中扩大解</w:t>
      </w:r>
      <w:r w:rsidRPr="00D12810">
        <w:rPr>
          <w:rFonts w:ascii="仿宋_GB2312" w:eastAsia="仿宋_GB2312" w:hAnsi="华文宋体" w:hint="eastAsia"/>
          <w:sz w:val="32"/>
          <w:szCs w:val="32"/>
        </w:rPr>
        <w:lastRenderedPageBreak/>
        <w:t>释</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20、民法溯及力原则与保护债权人利益原则的统一性</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21、公序良俗原则在合同法律事务发展中的适用及法律体系构建</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22、未生效合同解除权的设立</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23、宅基地使用权的继承、流转、灭失法律构建研究</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24、商事登记信赖保护制度及对抗性研究</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25、捐赠人的无效请求权与撤销权行使</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26、网络虚拟财产转移关系的立法价值取向</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27、缔约过失责任适用及赔偿范围</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28、合同成立、未生效、无效、可撤销之异同</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29、附保护第三人合同效力制度设计及研究</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30、真正第三人权利制度构建</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31、其他与民法总则立法与合同法修改有关的热点问题</w:t>
      </w:r>
    </w:p>
    <w:p w:rsidR="00692BF1" w:rsidRPr="00D12810" w:rsidRDefault="00692BF1" w:rsidP="00692BF1">
      <w:pPr>
        <w:spacing w:line="600" w:lineRule="exact"/>
        <w:jc w:val="left"/>
        <w:rPr>
          <w:rFonts w:ascii="仿宋_GB2312" w:eastAsia="仿宋_GB2312" w:hAnsi="华文宋体"/>
          <w:sz w:val="32"/>
          <w:szCs w:val="32"/>
        </w:rPr>
      </w:pPr>
    </w:p>
    <w:p w:rsidR="00692BF1" w:rsidRPr="00D12810" w:rsidRDefault="00692BF1" w:rsidP="00692BF1">
      <w:pPr>
        <w:spacing w:line="600" w:lineRule="exact"/>
        <w:rPr>
          <w:rFonts w:ascii="仿宋_GB2312" w:eastAsia="仿宋_GB2312" w:hAnsi="华文宋体"/>
          <w:b/>
          <w:sz w:val="32"/>
          <w:szCs w:val="32"/>
          <w:u w:val="single"/>
        </w:rPr>
      </w:pPr>
      <w:r w:rsidRPr="00D12810">
        <w:rPr>
          <w:rFonts w:ascii="仿宋_GB2312" w:eastAsia="仿宋_GB2312" w:hAnsi="华文宋体" w:hint="eastAsia"/>
          <w:b/>
          <w:sz w:val="32"/>
          <w:szCs w:val="32"/>
          <w:u w:val="single"/>
        </w:rPr>
        <w:t>B民诉法论坛参考主题</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1、论胎儿民事权利义务的诉讼保护。</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2、论申请法院宣告无民事行为能力/限制行为能力制度。</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3、论公益诉讼制度。</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4、论股东代表诉讼制度。</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5、论“意思表示不真实”案件中举证责任的分配标准。</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6、论意思表示不真实的证明标准。</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7、论电子邮件的证据保全及证明效力。</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lastRenderedPageBreak/>
        <w:t>8、论传真原件的证据保全及证明效力。</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9、论撤销权的行使。</w:t>
      </w:r>
    </w:p>
    <w:p w:rsidR="00692BF1" w:rsidRPr="00D12810" w:rsidRDefault="00692BF1" w:rsidP="00692BF1">
      <w:p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10、论诉讼时效制度。</w:t>
      </w:r>
    </w:p>
    <w:p w:rsidR="00692BF1" w:rsidRPr="00D12810" w:rsidRDefault="00692BF1" w:rsidP="00692BF1">
      <w:pPr>
        <w:spacing w:line="600" w:lineRule="exact"/>
        <w:jc w:val="left"/>
        <w:rPr>
          <w:rFonts w:ascii="仿宋_GB2312" w:eastAsia="仿宋_GB2312" w:hAnsi="华文宋体"/>
          <w:sz w:val="32"/>
          <w:szCs w:val="32"/>
        </w:rPr>
      </w:pPr>
    </w:p>
    <w:p w:rsidR="00692BF1" w:rsidRPr="00D12810" w:rsidRDefault="00692BF1" w:rsidP="00692BF1">
      <w:pPr>
        <w:spacing w:line="600" w:lineRule="exact"/>
        <w:rPr>
          <w:rFonts w:ascii="仿宋_GB2312" w:eastAsia="仿宋_GB2312" w:hAnsi="华文宋体"/>
          <w:b/>
          <w:sz w:val="32"/>
          <w:szCs w:val="32"/>
          <w:u w:val="single"/>
        </w:rPr>
      </w:pPr>
      <w:r w:rsidRPr="00D12810">
        <w:rPr>
          <w:rFonts w:ascii="仿宋_GB2312" w:eastAsia="仿宋_GB2312" w:hAnsi="华文宋体" w:hint="eastAsia"/>
          <w:b/>
          <w:sz w:val="32"/>
          <w:szCs w:val="32"/>
          <w:u w:val="single"/>
        </w:rPr>
        <w:t>C 物权法论坛参考</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不动产登记簿的记载与真实权利状态不符的认定与举证</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物权预告登记的范围与效力探析</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不动产登记纠纷的民事诉讼与行政诉讼路径</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如何理解物权法司法解释第十二条第一项中的“实质性变更要求”</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《物权法》第二十八条中的生效法律文书范围</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不动产登记物权外的“事实物权”</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如何理解物权法司法解释第六条中关于“转让人的债权人主张其为善意第三人”的规定</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关于物权法第一百零一条所称的“同等条件”的理解与适用</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实践中对“受让人具有重大过失”的认定与举证</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如何理解不动产善意取得中的无权处分</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善意取得特殊动产所有权的条件</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股权转让纠纷中善意取得的适用</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《物权法》在调整家庭财产关系中的适用</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人民法院在执行程序中作出的拍卖成交/以物抵债裁定能</w:t>
      </w:r>
      <w:r w:rsidRPr="00D12810">
        <w:rPr>
          <w:rFonts w:ascii="仿宋_GB2312" w:eastAsia="仿宋_GB2312" w:hAnsi="华文宋体" w:hint="eastAsia"/>
          <w:sz w:val="32"/>
          <w:szCs w:val="32"/>
        </w:rPr>
        <w:lastRenderedPageBreak/>
        <w:t>否产生物权变动的效力？</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按份共有人行使优先购买权时“同等条件”的考量因素</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共有不动产执行案件中对共有份额的处理问题</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共有份额赠与与按份共有人的优先购买的冲突</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侵害优先购买权的法律后果</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如何看待《物权法》与新建住宅“街区制”政策</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人防车库的经营收益归属</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限购政策对车辆所有权的影响</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小区业主的共有道路、其他场地的收益问题解决</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小区违章建筑与物业服务纠纷现状分析</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物业的安保责任对物业服务合同的影响</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农村集体经营性建设用地所有权与地上建筑物所有权分离的法律问题研究以及解决方案</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谈集体土地中农民的财产权</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谈符合规划和用途的农村集体经营性建设用地入市如何规范</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关于建立土地增值收益的公平分配制度的法律问题探析</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农村集体土地流转的主体、客体、范围、内容、流转程序、定价规则、审批规则、流转次序、抵押融资、出租、出让、合资入股、以往法律修改、新的立法建议等研究</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案外人主张不动产租赁权异议的相关问题</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家庭承包的土地承包经营权流转问题</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lastRenderedPageBreak/>
        <w:t xml:space="preserve">家庭承包的土地承包经营权互换、转让登记 </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担保物权适用范围及反担保</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担保财产变化（毁损、灭失、被征收等）的法律后果</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主债务转移对第三人担保责任的影响</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无效担保的认定及法律责任</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新型担保的法律效力及纠纷</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公司对外担保行为效力的考量因素</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民间借贷中抵押担保的风险</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主债权诉讼时效届满，抵押人能否要求注销抵押登记？</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抵押与保证并存的相关裁判规则</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“房”“地”分别抵押的效力及纠纷</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不动产抵押未办理登记的抵押人责任</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最高额抵押担保合同中抵押物被查封的法律风险</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集体土地承包经营权抵押、担保、入股及其流转中应注意的法律问题</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在探索农村宅基地或房屋抵押、担保、转让中应注意与完善的法律问题</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特许经营权质押的相关法律规范</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 xml:space="preserve">典当合同中流质条款的效力认定 </w:t>
      </w:r>
    </w:p>
    <w:p w:rsidR="00692BF1" w:rsidRPr="00D12810" w:rsidRDefault="00692BF1" w:rsidP="00692BF1">
      <w:pPr>
        <w:numPr>
          <w:ilvl w:val="0"/>
          <w:numId w:val="1"/>
        </w:numPr>
        <w:spacing w:line="600" w:lineRule="exact"/>
        <w:jc w:val="left"/>
        <w:rPr>
          <w:rFonts w:ascii="仿宋_GB2312" w:eastAsia="仿宋_GB2312" w:hAnsi="华文宋体"/>
          <w:sz w:val="32"/>
          <w:szCs w:val="32"/>
        </w:rPr>
      </w:pPr>
      <w:r w:rsidRPr="00D12810">
        <w:rPr>
          <w:rFonts w:ascii="仿宋_GB2312" w:eastAsia="仿宋_GB2312" w:hAnsi="华文宋体" w:hint="eastAsia"/>
          <w:sz w:val="32"/>
          <w:szCs w:val="32"/>
        </w:rPr>
        <w:t>禁止流押原则的适用</w:t>
      </w:r>
    </w:p>
    <w:p w:rsidR="00692BF1" w:rsidRPr="00D12810" w:rsidRDefault="00692BF1" w:rsidP="00692BF1">
      <w:pPr>
        <w:spacing w:line="600" w:lineRule="exact"/>
        <w:jc w:val="left"/>
        <w:rPr>
          <w:rFonts w:ascii="仿宋_GB2312" w:eastAsia="仿宋_GB2312" w:hAnsi="华文宋体"/>
          <w:sz w:val="32"/>
          <w:szCs w:val="32"/>
        </w:rPr>
      </w:pPr>
    </w:p>
    <w:p w:rsidR="00692BF1" w:rsidRPr="00D12810" w:rsidRDefault="00692BF1" w:rsidP="00692BF1">
      <w:pPr>
        <w:spacing w:line="600" w:lineRule="exact"/>
        <w:rPr>
          <w:rFonts w:ascii="仿宋_GB2312" w:eastAsia="仿宋_GB2312" w:hAnsi="华文宋体"/>
          <w:b/>
          <w:sz w:val="32"/>
          <w:szCs w:val="32"/>
          <w:u w:val="single"/>
        </w:rPr>
      </w:pPr>
      <w:r w:rsidRPr="00D12810">
        <w:rPr>
          <w:rFonts w:ascii="仿宋_GB2312" w:eastAsia="仿宋_GB2312" w:hAnsi="华文宋体" w:hint="eastAsia"/>
          <w:b/>
          <w:sz w:val="32"/>
          <w:szCs w:val="32"/>
          <w:u w:val="single"/>
        </w:rPr>
        <w:t>D婚姻法论坛参考</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lastRenderedPageBreak/>
        <w:t>1、婚内财产分割的条件与实践</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2、中外监护权制度对比研究</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3、股权的继承</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4、夫妻一方债务及共同债务清偿制度的完善</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5、夫妻财产举证责任与法院司法调查的衔接与平衡</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6、对未成年人财产侵权的监督及救济保护机制</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7、民事行为能力年龄的降低对婚姻案件的影响和展望</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8、股权转让与配偶财产权的保护</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9、律师在财富传承中的作用力</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10、虚拟财产的分割与继承</w:t>
      </w:r>
    </w:p>
    <w:p w:rsidR="00692BF1" w:rsidRPr="00D12810" w:rsidRDefault="00692BF1" w:rsidP="00692BF1">
      <w:pPr>
        <w:spacing w:line="600" w:lineRule="exact"/>
        <w:rPr>
          <w:rFonts w:ascii="仿宋_GB2312" w:eastAsia="仿宋_GB2312" w:hAnsi="华文宋体"/>
          <w:sz w:val="32"/>
          <w:szCs w:val="32"/>
        </w:rPr>
      </w:pPr>
      <w:r w:rsidRPr="00D12810">
        <w:rPr>
          <w:rFonts w:ascii="仿宋_GB2312" w:eastAsia="仿宋_GB2312" w:hAnsi="华文宋体" w:hint="eastAsia"/>
          <w:sz w:val="32"/>
          <w:szCs w:val="32"/>
        </w:rPr>
        <w:t>11、抚养权与探视权制度的完善</w:t>
      </w:r>
    </w:p>
    <w:p w:rsidR="00692BF1" w:rsidRPr="00F11FB5" w:rsidRDefault="00692BF1" w:rsidP="00692BF1">
      <w:pPr>
        <w:spacing w:line="600" w:lineRule="exact"/>
        <w:rPr>
          <w:rFonts w:ascii="华文宋体" w:eastAsia="华文宋体" w:hAnsi="华文宋体"/>
          <w:color w:val="000000"/>
          <w:sz w:val="24"/>
        </w:rPr>
      </w:pPr>
      <w:r w:rsidRPr="00D12810">
        <w:rPr>
          <w:rFonts w:ascii="仿宋_GB2312" w:eastAsia="仿宋_GB2312" w:hAnsi="华文宋体" w:hint="eastAsia"/>
          <w:sz w:val="32"/>
          <w:szCs w:val="32"/>
        </w:rPr>
        <w:t>12、未成年继承人的救济保护机制</w:t>
      </w:r>
    </w:p>
    <w:p w:rsidR="00692BF1" w:rsidRPr="00BC6F59" w:rsidRDefault="00692BF1" w:rsidP="00692BF1">
      <w:pPr>
        <w:widowControl/>
        <w:spacing w:line="600" w:lineRule="exact"/>
        <w:ind w:right="640" w:firstLineChars="200" w:firstLine="640"/>
        <w:jc w:val="left"/>
        <w:rPr>
          <w:rFonts w:ascii="仿宋_GB2312" w:eastAsia="仿宋_GB2312" w:hAnsi="仿宋" w:cs="宋体"/>
          <w:kern w:val="0"/>
          <w:sz w:val="32"/>
          <w:szCs w:val="32"/>
        </w:rPr>
      </w:pPr>
    </w:p>
    <w:p w:rsidR="003E6004" w:rsidRPr="00692BF1" w:rsidRDefault="003E6004">
      <w:bookmarkStart w:id="0" w:name="_GoBack"/>
      <w:bookmarkEnd w:id="0"/>
    </w:p>
    <w:sectPr w:rsidR="003E6004" w:rsidRPr="00692BF1" w:rsidSect="002D449A">
      <w:pgSz w:w="11906" w:h="16838"/>
      <w:pgMar w:top="1701" w:right="1474" w:bottom="1701" w:left="1588" w:header="851" w:footer="992" w:gutter="0"/>
      <w:cols w:space="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D35F8"/>
    <w:multiLevelType w:val="multilevel"/>
    <w:tmpl w:val="1A4D35F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F1"/>
    <w:rsid w:val="003E6004"/>
    <w:rsid w:val="0069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8295A-BC8D-4BD0-8AEE-2FF66879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Words>
  <Characters>1943</Characters>
  <Application>Microsoft Office Word</Application>
  <DocSecurity>0</DocSecurity>
  <Lines>16</Lines>
  <Paragraphs>4</Paragraphs>
  <ScaleCrop>false</ScaleCrop>
  <Company>Sky123.Org</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2016-09-18T08:48:00Z</dcterms:created>
  <dcterms:modified xsi:type="dcterms:W3CDTF">2016-09-18T08:48:00Z</dcterms:modified>
</cp:coreProperties>
</file>