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/>
        </w:rPr>
        <w:t>附件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color w:val="000000"/>
          <w:sz w:val="44"/>
          <w:szCs w:val="21"/>
        </w:rPr>
        <w:t>“一带一路”背景下“反倾销反补贴”律师实务培训班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报 名 表</w:t>
      </w:r>
    </w:p>
    <w:p>
      <w:pPr>
        <w:spacing w:line="56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所在市州：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</w:t>
      </w:r>
    </w:p>
    <w:tbl>
      <w:tblPr>
        <w:tblStyle w:val="5"/>
        <w:tblW w:w="8875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81"/>
        <w:gridCol w:w="2270"/>
        <w:gridCol w:w="2468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871" w:right="1587" w:bottom="1757" w:left="1587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6758A"/>
    <w:rsid w:val="580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mn-Mong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2018-12-07T12:11:00Z</dcterms:created>
  <dc:creator>wd</dc:creator>
  <cp:lastModifiedBy>wd</cp:lastModifiedBy>
  <dcterms:modified xsi:type="dcterms:W3CDTF">2018-12-07T12:12:06Z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