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B3A" w:rsidRDefault="005F0B3A" w:rsidP="005F0B3A">
      <w:pPr>
        <w:widowControl/>
        <w:spacing w:line="580" w:lineRule="exact"/>
        <w:ind w:firstLine="880"/>
        <w:rPr>
          <w:rFonts w:ascii="方正小标宋_GBK" w:eastAsia="方正小标宋_GBK" w:hAnsi="方正小标宋_GBK" w:cs="方正小标宋_GBK"/>
          <w:color w:val="333333"/>
          <w:kern w:val="0"/>
          <w:sz w:val="44"/>
          <w:szCs w:val="44"/>
          <w:lang w:bidi="ar"/>
        </w:rPr>
      </w:pPr>
      <w:r>
        <w:rPr>
          <w:rFonts w:ascii="方正小标宋_GBK" w:eastAsia="方正小标宋_GBK" w:hAnsi="方正小标宋_GBK" w:cs="方正小标宋_GBK" w:hint="eastAsia"/>
          <w:color w:val="333333"/>
          <w:kern w:val="0"/>
          <w:sz w:val="44"/>
          <w:szCs w:val="44"/>
          <w:lang w:bidi="ar"/>
        </w:rPr>
        <w:t>附件：</w:t>
      </w:r>
    </w:p>
    <w:p w:rsidR="005F0B3A" w:rsidRDefault="005F0B3A" w:rsidP="005F0B3A">
      <w:pPr>
        <w:widowControl/>
        <w:spacing w:line="580" w:lineRule="exact"/>
        <w:ind w:firstLine="880"/>
        <w:jc w:val="center"/>
        <w:rPr>
          <w:rFonts w:ascii="仿宋_GB2312" w:eastAsia="仿宋_GB2312" w:hAnsi="仿宋_GB2312" w:cs="仿宋_GB2312"/>
          <w:sz w:val="32"/>
          <w:szCs w:val="32"/>
        </w:rPr>
      </w:pPr>
      <w:bookmarkStart w:id="0" w:name="_GoBack"/>
      <w:r>
        <w:rPr>
          <w:rFonts w:ascii="方正小标宋_GBK" w:eastAsia="方正小标宋_GBK" w:hAnsi="方正小标宋_GBK" w:cs="方正小标宋_GBK" w:hint="eastAsia"/>
          <w:color w:val="333333"/>
          <w:kern w:val="0"/>
          <w:sz w:val="44"/>
          <w:szCs w:val="44"/>
          <w:lang w:bidi="ar"/>
        </w:rPr>
        <w:t>《民法典》理论研究文章与经典案例获奖名单</w:t>
      </w:r>
    </w:p>
    <w:bookmarkEnd w:id="0"/>
    <w:p w:rsidR="005F0B3A" w:rsidRDefault="005F0B3A" w:rsidP="005F0B3A">
      <w:pPr>
        <w:pStyle w:val="a3"/>
        <w:widowControl/>
        <w:spacing w:beforeAutospacing="0" w:afterAutospacing="0"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一等奖（3篇）：</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1.《获利返还制度解释论——以&lt;民法典&gt;第1182条为中心》，湖南弘一律师事务所，梁毅</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2.《&lt;民法典&gt;第416条（价款担保权）评注》，湖南天地人律师事务所，曹琛</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3.《我国预付消费法律规制现状分析及立法建议》，长沙市公安局警官培训中心，薛明哲</w:t>
      </w:r>
    </w:p>
    <w:p w:rsidR="005F0B3A" w:rsidRDefault="005F0B3A" w:rsidP="005F0B3A">
      <w:pPr>
        <w:pStyle w:val="a3"/>
        <w:widowControl/>
        <w:spacing w:beforeAutospacing="0" w:afterAutospacing="0"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二等奖（5篇）：</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4.《民法典背景下肖像权与街拍摄影作品著作权之研究》，湖南湘君律师事务所，陈胜</w:t>
      </w:r>
    </w:p>
    <w:p w:rsidR="005F0B3A" w:rsidRDefault="005F0B3A" w:rsidP="005F0B3A">
      <w:pPr>
        <w:pStyle w:val="a3"/>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5.《论&lt;民法典&gt;适用的法律道德性考量》，湖南源真律师事务所，熊武林</w:t>
      </w:r>
    </w:p>
    <w:p w:rsidR="005F0B3A" w:rsidRDefault="005F0B3A" w:rsidP="005F0B3A">
      <w:pPr>
        <w:pStyle w:val="a3"/>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6.《浅议我国动产及权利担保登记统一制度的演变及意义》，湖南恒昌律师事务所，高占国</w:t>
      </w:r>
    </w:p>
    <w:p w:rsidR="005F0B3A" w:rsidRDefault="005F0B3A" w:rsidP="005F0B3A">
      <w:pPr>
        <w:pStyle w:val="a3"/>
        <w:spacing w:beforeAutospacing="0" w:afterAutospacing="0" w:line="580" w:lineRule="exact"/>
        <w:ind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eastAsia="zh-Hans"/>
        </w:rPr>
        <w:t>.《&lt;民法典&gt;背景下的小区业主自治》，湖南金州（湘潭）律师事务所，尹倚民</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8.《管理性强制性规定是否可以构成&lt;民法典&gt;认定合同无效的依据？》，湖南天地人律师事务所，曾佳魁（案例）</w:t>
      </w:r>
    </w:p>
    <w:p w:rsidR="005F0B3A" w:rsidRDefault="005F0B3A" w:rsidP="005F0B3A">
      <w:pPr>
        <w:pStyle w:val="a3"/>
        <w:widowControl/>
        <w:spacing w:beforeAutospacing="0" w:afterAutospacing="0"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三等奖（7篇）：</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9.《浅谈动产超级优先权》，湖南泓锐律师事务所，易珊</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10.《&lt;民法典&gt;视域下“婚后父母出资购房”问题探究》，湖南弘一（衡阳）律师事务所，周楠</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11.《民法典视域下抵押权预告登记再探讨》，湖南力攻律师事务所，李良亮</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12.《&lt;民法典&gt;中抵押物转让规则理念透析》，湖南通程律师事务所，陈金磊</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13.《浅析如何应用《民法典》中“好意同乘”的规定》，湖南正君律师事务所，周腾</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lang w:eastAsia="zh-Hans"/>
        </w:rPr>
        <w:t>.《因情势变更而协商变更合同后，受益方是否仍要分担其他损失》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案例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，湖南银联律师事务所，</w:t>
      </w:r>
      <w:r>
        <w:rPr>
          <w:rFonts w:ascii="仿宋_GB2312" w:eastAsia="仿宋_GB2312" w:hAnsi="仿宋_GB2312" w:cs="仿宋_GB2312" w:hint="eastAsia"/>
          <w:sz w:val="32"/>
          <w:szCs w:val="32"/>
        </w:rPr>
        <w:t>赵波</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lang w:eastAsia="zh-Hans"/>
        </w:rPr>
        <w:t>.《“债务加入”在欠薪案件中的适用》（案例），湖南芙蓉（湘潭）律师事务所，黄敏，湘潭县法律援助中心，方琳玲</w:t>
      </w:r>
    </w:p>
    <w:p w:rsidR="005F0B3A" w:rsidRDefault="005F0B3A" w:rsidP="005F0B3A">
      <w:pPr>
        <w:pStyle w:val="a3"/>
        <w:widowControl/>
        <w:spacing w:beforeAutospacing="0" w:afterAutospacing="0" w:line="58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lang w:eastAsia="zh-Hans"/>
        </w:rPr>
        <w:t>优胜</w:t>
      </w:r>
      <w:r>
        <w:rPr>
          <w:rFonts w:ascii="楷体_GB2312" w:eastAsia="楷体_GB2312" w:hAnsi="楷体_GB2312" w:cs="楷体_GB2312" w:hint="eastAsia"/>
          <w:b/>
          <w:bCs/>
          <w:sz w:val="32"/>
          <w:szCs w:val="32"/>
        </w:rPr>
        <w:t>奖（20篇）：</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16.《民法典“婚前患重大疾病未如实告知可撤销婚姻”法律的适用》（</w:t>
      </w:r>
      <w:r>
        <w:rPr>
          <w:rFonts w:ascii="仿宋_GB2312" w:eastAsia="仿宋_GB2312" w:hAnsi="仿宋_GB2312" w:cs="仿宋_GB2312" w:hint="eastAsia"/>
          <w:sz w:val="32"/>
          <w:szCs w:val="32"/>
          <w:lang w:eastAsia="zh-Hans"/>
        </w:rPr>
        <w:t>案例</w:t>
      </w:r>
      <w:r>
        <w:rPr>
          <w:rFonts w:ascii="仿宋_GB2312" w:eastAsia="仿宋_GB2312" w:hAnsi="仿宋_GB2312" w:cs="仿宋_GB2312" w:hint="eastAsia"/>
          <w:sz w:val="32"/>
          <w:szCs w:val="32"/>
        </w:rPr>
        <w:t>），湖南天地人律师事务所，熊麒</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17.《信息网络中的假冒商标侵权如何确定管辖法院？》（</w:t>
      </w:r>
      <w:r>
        <w:rPr>
          <w:rFonts w:ascii="仿宋_GB2312" w:eastAsia="仿宋_GB2312" w:hAnsi="仿宋_GB2312" w:cs="仿宋_GB2312" w:hint="eastAsia"/>
          <w:sz w:val="32"/>
          <w:szCs w:val="32"/>
          <w:lang w:eastAsia="zh-Hans"/>
        </w:rPr>
        <w:t>案例</w:t>
      </w:r>
      <w:r>
        <w:rPr>
          <w:rFonts w:ascii="仿宋_GB2312" w:eastAsia="仿宋_GB2312" w:hAnsi="仿宋_GB2312" w:cs="仿宋_GB2312" w:hint="eastAsia"/>
          <w:sz w:val="32"/>
          <w:szCs w:val="32"/>
        </w:rPr>
        <w:t>），湖南思博达律师事务所，刘异、石磊、李进祥</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18.《居住权对商业银行信贷业务的影响及风险防范》，中国农业银行股份有限公司郴州分行，王碧献</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19.《民法典时代下夫妻共同债务认定问题探究》，湖南弘一（衡阳）律师事务所，周楠</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20.《&lt;民法典&gt;背景下居住权与房屋抵押权之间的现实冲突及应对措施》，湖南金垣律师事务所，黄旺</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21.《论如何完善离婚冷静期实施之配套措施》，湖南董艺律师事务所，周树辉</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22.《&lt;民法典&gt;颁布后的民间借贷利息计算方式——以郭某与吴某民间借贷案为例》，上海兰迪（长沙）律师事务所，邹晓琼、付尧</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23.《关于对父母履行较多赡养义务的子女向其他子女追偿权问题的分析与对策》，湖南恒昌律师事务所，高占国、赵冰</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24.《浅析住宅小区规划内地下停车位的归属问题》，湖南唯楚（湘潭）律师事务所，邱孟华</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25.《简析小区地下车库（车位）所有权归属》，北京浩天信和（长沙）律师事务所，叶翔锋</w:t>
      </w:r>
    </w:p>
    <w:p w:rsidR="005F0B3A" w:rsidRDefault="005F0B3A" w:rsidP="005F0B3A">
      <w:pPr>
        <w:pStyle w:val="a3"/>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lang w:eastAsia="zh-Hans"/>
        </w:rPr>
        <w:t>.《从民事权利的行使谈刑民交叉案件的辩护》，湖南秦希燕联合律师事务所，洪志强</w:t>
      </w:r>
    </w:p>
    <w:p w:rsidR="005F0B3A" w:rsidRDefault="005F0B3A" w:rsidP="005F0B3A">
      <w:pPr>
        <w:pStyle w:val="a3"/>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27.《浅论违约方合同解除规则》，湖南瀛启（湘潭）律师事务所，徐凌霄</w:t>
      </w:r>
    </w:p>
    <w:p w:rsidR="005F0B3A" w:rsidRDefault="005F0B3A" w:rsidP="005F0B3A">
      <w:pPr>
        <w:pStyle w:val="a3"/>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28.《个人信息侵权案件中相关法律问题研究》，湖南金州律师事务所，李里涓子</w:t>
      </w:r>
    </w:p>
    <w:p w:rsidR="005F0B3A" w:rsidRDefault="005F0B3A" w:rsidP="005F0B3A">
      <w:pPr>
        <w:pStyle w:val="a3"/>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29.《幼儿园侵权责任划分》，北京市京师（长沙）律师事</w:t>
      </w:r>
      <w:r>
        <w:rPr>
          <w:rFonts w:ascii="仿宋_GB2312" w:eastAsia="仿宋_GB2312" w:hAnsi="仿宋_GB2312" w:cs="仿宋_GB2312" w:hint="eastAsia"/>
          <w:sz w:val="32"/>
          <w:szCs w:val="32"/>
          <w:lang w:eastAsia="zh-Hans"/>
        </w:rPr>
        <w:lastRenderedPageBreak/>
        <w:t>务所，邹新军、刘星语</w:t>
      </w:r>
    </w:p>
    <w:p w:rsidR="005F0B3A" w:rsidRDefault="005F0B3A" w:rsidP="005F0B3A">
      <w:pPr>
        <w:pStyle w:val="a3"/>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30.《论&lt;民法典&gt;之无因管理制度的体系融合》，湖南激扬律师事务所，郭卫星、刘阳</w:t>
      </w:r>
    </w:p>
    <w:p w:rsidR="005F0B3A" w:rsidRDefault="005F0B3A" w:rsidP="005F0B3A">
      <w:pPr>
        <w:pStyle w:val="a3"/>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31.《民法典时代让与担保制度研究》，湖南四维律师事务所，刘涛</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32.《论专利的法律诊断》，湖南骄阳律师事务所，王飞鹏</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33.《浅议&lt;民法典&gt;时代的网络虚拟财产保护》，湖南仁本律师事务所，张安平</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34.《好意同乘规则的适用问题研究》，湖南百舸律师事务所，邱毛</w:t>
      </w:r>
    </w:p>
    <w:p w:rsidR="005F0B3A" w:rsidRDefault="005F0B3A" w:rsidP="005F0B3A">
      <w:pPr>
        <w:pStyle w:val="a3"/>
        <w:widowControl/>
        <w:spacing w:beforeAutospacing="0" w:afterAutospacing="0" w:line="58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35.《论婚姻调查制度》，湖南潭州律师事务所，万敏超</w:t>
      </w:r>
    </w:p>
    <w:p w:rsidR="005F0B3A" w:rsidRDefault="005F0B3A" w:rsidP="005F0B3A">
      <w:pPr>
        <w:pStyle w:val="a3"/>
        <w:widowControl/>
        <w:spacing w:beforeAutospacing="0" w:afterAutospacing="0" w:line="580" w:lineRule="exact"/>
        <w:ind w:firstLine="640"/>
        <w:jc w:val="both"/>
        <w:rPr>
          <w:rFonts w:ascii="仿宋_GB2312" w:eastAsia="仿宋_GB2312" w:hAnsi="仿宋_GB2312" w:cs="仿宋_GB2312"/>
          <w:sz w:val="32"/>
          <w:szCs w:val="32"/>
          <w:lang w:eastAsia="zh-Hans"/>
        </w:rPr>
      </w:pPr>
    </w:p>
    <w:p w:rsidR="00665B5A" w:rsidRDefault="00665B5A">
      <w:pPr>
        <w:ind w:firstLine="600"/>
      </w:pPr>
    </w:p>
    <w:sectPr w:rsidR="00665B5A">
      <w:pgSz w:w="11906" w:h="16838"/>
      <w:pgMar w:top="1871" w:right="1474" w:bottom="1757"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3A"/>
    <w:rsid w:val="00373C72"/>
    <w:rsid w:val="005F0B3A"/>
    <w:rsid w:val="00665B5A"/>
    <w:rsid w:val="00846738"/>
    <w:rsid w:val="00C6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D45C2-9791-4FD1-BFA0-9E978C33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B3A"/>
    <w:pPr>
      <w:widowControl w:val="0"/>
      <w:jc w:val="both"/>
    </w:pPr>
    <w:rPr>
      <w:szCs w:val="24"/>
    </w:rPr>
  </w:style>
  <w:style w:type="paragraph" w:styleId="1">
    <w:name w:val="heading 1"/>
    <w:basedOn w:val="a"/>
    <w:next w:val="a"/>
    <w:link w:val="10"/>
    <w:autoRedefine/>
    <w:uiPriority w:val="9"/>
    <w:qFormat/>
    <w:rsid w:val="00846738"/>
    <w:pPr>
      <w:keepNext/>
      <w:keepLines/>
      <w:spacing w:before="340" w:after="330" w:line="578" w:lineRule="auto"/>
      <w:jc w:val="center"/>
      <w:outlineLvl w:val="0"/>
    </w:pPr>
    <w:rPr>
      <w:rFonts w:eastAsia="华文宋体"/>
      <w:b/>
      <w:bCs/>
      <w:kern w:val="44"/>
      <w:sz w:val="44"/>
      <w:szCs w:val="44"/>
    </w:rPr>
  </w:style>
  <w:style w:type="paragraph" w:styleId="2">
    <w:name w:val="heading 2"/>
    <w:basedOn w:val="a"/>
    <w:next w:val="a"/>
    <w:link w:val="20"/>
    <w:autoRedefine/>
    <w:uiPriority w:val="9"/>
    <w:semiHidden/>
    <w:unhideWhenUsed/>
    <w:qFormat/>
    <w:rsid w:val="00373C72"/>
    <w:pPr>
      <w:keepNext/>
      <w:keepLines/>
      <w:spacing w:before="260" w:after="260" w:line="580" w:lineRule="atLeast"/>
      <w:jc w:val="center"/>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738"/>
    <w:rPr>
      <w:rFonts w:eastAsia="华文宋体"/>
      <w:b/>
      <w:bCs/>
      <w:kern w:val="44"/>
      <w:sz w:val="44"/>
      <w:szCs w:val="44"/>
    </w:rPr>
  </w:style>
  <w:style w:type="character" w:customStyle="1" w:styleId="20">
    <w:name w:val="标题 2 字符"/>
    <w:basedOn w:val="a0"/>
    <w:link w:val="2"/>
    <w:uiPriority w:val="9"/>
    <w:semiHidden/>
    <w:rsid w:val="00373C72"/>
    <w:rPr>
      <w:rFonts w:asciiTheme="majorHAnsi" w:eastAsia="黑体" w:hAnsiTheme="majorHAnsi" w:cstheme="majorBidi"/>
      <w:b/>
      <w:bCs/>
      <w:sz w:val="32"/>
      <w:szCs w:val="32"/>
    </w:rPr>
  </w:style>
  <w:style w:type="paragraph" w:styleId="a3">
    <w:name w:val="Normal (Web)"/>
    <w:basedOn w:val="a"/>
    <w:qFormat/>
    <w:rsid w:val="005F0B3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2021-12-15T01:04:00Z</dcterms:created>
  <dcterms:modified xsi:type="dcterms:W3CDTF">2021-12-15T01:06:00Z</dcterms:modified>
</cp:coreProperties>
</file>