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pacing w:val="-5"/>
          <w:sz w:val="36"/>
          <w:szCs w:val="36"/>
        </w:rPr>
      </w:pPr>
      <w:bookmarkStart w:id="0" w:name="_Toc59178070"/>
      <w:bookmarkStart w:id="1" w:name="_Toc60063467"/>
      <w:bookmarkStart w:id="2" w:name="_Toc60063565"/>
      <w:bookmarkStart w:id="3" w:name="_Toc60063594"/>
      <w:r>
        <w:rPr>
          <w:rFonts w:hint="eastAsia" w:ascii="方正小标宋简体" w:hAnsi="方正小标宋简体" w:eastAsia="方正小标宋简体" w:cs="方正小标宋简体"/>
          <w:color w:val="000000"/>
          <w:spacing w:val="-5"/>
          <w:sz w:val="36"/>
          <w:szCs w:val="36"/>
        </w:rPr>
        <w:t>律师事务所文书资料管理制度</w:t>
      </w:r>
      <w:bookmarkEnd w:id="0"/>
      <w:bookmarkEnd w:id="1"/>
      <w:bookmarkEnd w:id="2"/>
      <w:bookmarkEnd w:id="3"/>
    </w:p>
    <w:p>
      <w:pPr>
        <w:spacing w:line="500" w:lineRule="exact"/>
        <w:jc w:val="center"/>
        <w:rPr>
          <w:rFonts w:ascii="仿宋_GB2312" w:hAnsi="仿宋_GB2312" w:eastAsia="仿宋_GB2312" w:cs="仿宋_GB2312"/>
          <w:color w:val="000000"/>
          <w:sz w:val="28"/>
          <w:szCs w:val="32"/>
        </w:rPr>
      </w:pP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第一条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为规范文书资料管理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，提升文书资料使用效能，制定本制度。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color w:val="000000"/>
          <w:sz w:val="28"/>
          <w:szCs w:val="32"/>
          <w:lang w:bidi="ar"/>
        </w:rPr>
        <w:t>第</w:t>
      </w: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二条  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  <w:lang w:bidi="ar"/>
        </w:rPr>
        <w:t>文书资料包括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业务文书资料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、内部文书资料和其他文书资料。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第三条  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  <w:lang w:bidi="ar"/>
        </w:rPr>
        <w:t>文书资料管理包括文书资料的制作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、用印、分类、编号、归档、保管、查阅、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销毁等工作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第四条  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  <w:lang w:bidi="ar"/>
        </w:rPr>
        <w:t>文书资料实行分类集中统一管理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，指定专人负责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相关工作。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第五条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业务文书包括各类委托合同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、法律顾问合同、各类所函、调查专用证明、各类律师函、法律意见书以及其他基于委托关系而由律师事务所出具的文书。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第六条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内部文书包括本所章程、合伙人协议、合伙人会议决议、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合伙人会议或者律师会议记录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本所管理制度及其他内部管理文书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color w:val="000000"/>
          <w:sz w:val="28"/>
          <w:szCs w:val="32"/>
          <w:lang w:bidi="ar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七条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本所名义制作、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出具的文书资料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，应当明确具体的承办人员，并由承办人员按照本所的相关规定负责制作、报批、用印、签发、缴存等工作，相应的制作、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审批流程表作为文书资料的附件保存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32"/>
        </w:rPr>
        <w:t xml:space="preserve">第八条  </w:t>
      </w:r>
      <w:r>
        <w:rPr>
          <w:rFonts w:ascii="仿宋_GB2312" w:hAnsi="宋体" w:eastAsia="仿宋_GB2312"/>
          <w:color w:val="000000"/>
          <w:kern w:val="0"/>
          <w:sz w:val="28"/>
          <w:szCs w:val="32"/>
        </w:rPr>
        <w:t>出具律师事务所</w:t>
      </w:r>
      <w:r>
        <w:rPr>
          <w:rFonts w:ascii="仿宋_GB2312" w:hAnsi="宋体" w:eastAsia="仿宋_GB2312"/>
          <w:color w:val="000000"/>
          <w:kern w:val="0"/>
          <w:sz w:val="28"/>
          <w:szCs w:val="32"/>
          <w:lang w:val="zh-CN"/>
        </w:rPr>
        <w:t>函、调查证明、介绍信等格式文书，</w:t>
      </w:r>
      <w:r>
        <w:rPr>
          <w:rFonts w:hint="eastAsia" w:ascii="仿宋_GB2312" w:hAnsi="宋体" w:eastAsia="仿宋_GB2312"/>
          <w:color w:val="000000"/>
          <w:kern w:val="0"/>
          <w:sz w:val="28"/>
          <w:szCs w:val="32"/>
          <w:lang w:val="zh-CN"/>
        </w:rPr>
        <w:t>应当</w:t>
      </w:r>
      <w:r>
        <w:rPr>
          <w:rFonts w:ascii="仿宋_GB2312" w:hAnsi="宋体" w:eastAsia="仿宋_GB2312"/>
          <w:color w:val="000000"/>
          <w:kern w:val="0"/>
          <w:sz w:val="28"/>
          <w:szCs w:val="32"/>
          <w:lang w:val="zh-CN"/>
        </w:rPr>
        <w:t>按照</w:t>
      </w:r>
      <w:r>
        <w:rPr>
          <w:rFonts w:hint="eastAsia" w:ascii="仿宋_GB2312" w:hAnsi="宋体" w:eastAsia="仿宋_GB2312"/>
          <w:color w:val="000000"/>
          <w:kern w:val="0"/>
          <w:sz w:val="28"/>
          <w:szCs w:val="32"/>
        </w:rPr>
        <w:t>本</w:t>
      </w:r>
      <w:r>
        <w:rPr>
          <w:rFonts w:ascii="仿宋_GB2312" w:hAnsi="宋体" w:eastAsia="仿宋_GB2312"/>
          <w:color w:val="000000"/>
          <w:kern w:val="0"/>
          <w:sz w:val="28"/>
          <w:szCs w:val="32"/>
          <w:lang w:val="zh-CN"/>
        </w:rPr>
        <w:t>所规定的程序审批，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  <w:lang w:bidi="ar"/>
        </w:rPr>
        <w:t>由文书管理人员登记</w:t>
      </w:r>
      <w:r>
        <w:rPr>
          <w:rFonts w:ascii="仿宋_GB2312" w:hAnsi="宋体" w:eastAsia="仿宋_GB2312"/>
          <w:color w:val="000000"/>
          <w:kern w:val="0"/>
          <w:sz w:val="28"/>
          <w:szCs w:val="32"/>
          <w:lang w:val="zh-CN"/>
        </w:rPr>
        <w:t>、承办律师签名。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color w:val="000000"/>
          <w:sz w:val="28"/>
          <w:szCs w:val="32"/>
          <w:lang w:bidi="ar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  <w:lang w:bidi="ar"/>
        </w:rPr>
        <w:t>九条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  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  <w:lang w:bidi="ar"/>
        </w:rPr>
        <w:t>文书资料应当按性质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、年份进行分类、编号，保证文书资料管理的连续性、完整性、真实性。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color w:val="000000"/>
          <w:sz w:val="28"/>
          <w:szCs w:val="32"/>
          <w:lang w:bidi="ar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  <w:lang w:bidi="ar"/>
        </w:rPr>
        <w:t>十条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  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  <w:lang w:bidi="ar"/>
        </w:rPr>
        <w:t>文书资料应当留存一份原件交由指定的专人负责登记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、装册、归档，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条件具备的应当扫描后进行电子数据存储。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第十一条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本所人员调阅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借用文书资料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，须经分管负责人或者本所主任同意，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并应及时归还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文书资料管理人员应做好调阅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、借用登记。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十二条  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  <w:lang w:bidi="ar"/>
        </w:rPr>
        <w:t>文书资料管理人员应定期进行文书资料清查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，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  <w:lang w:bidi="ar"/>
        </w:rPr>
        <w:t>根据文书资料的去向登记及时索回调阅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借用的资料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，如发现有漏登、遗失的，应及时补登或追回，并应及时上报主管副主任或主任。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第十三条  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  <w:lang w:bidi="ar"/>
        </w:rPr>
        <w:t>文书资料的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销毁工作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由本所管理层根据需要报请合伙人会议讨论决定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第十四条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文书资料管理人员变动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，应与继任管理人员进行书面交接，核对交接文书资料的存档目录、存档文件、电子储存数据。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十五条  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  <w:lang w:bidi="ar"/>
        </w:rPr>
        <w:t>文书资料管理人员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、律所其他人员应当根据文书资料的密级做好文书资料的保密工作。</w:t>
      </w:r>
    </w:p>
    <w:p>
      <w:pPr>
        <w:spacing w:line="50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第十六条  </w:t>
      </w:r>
      <w:r>
        <w:rPr>
          <w:rFonts w:ascii="仿宋_GB2312" w:hAnsi="仿宋_GB2312" w:eastAsia="仿宋_GB2312" w:cs="仿宋_GB2312"/>
          <w:bCs/>
          <w:color w:val="000000"/>
          <w:sz w:val="28"/>
          <w:szCs w:val="32"/>
          <w:lang w:bidi="ar"/>
        </w:rPr>
        <w:t>本制度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由合伙人会议负责解释和修改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，自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2"/>
          <w:lang w:bidi="ar"/>
        </w:rPr>
        <w:t>日起施行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B0A605-DF8D-40A0-83D6-CC9ED5EE214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CC89F88-9788-46FF-95C8-931C7EBD44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007B3C7-6166-4135-A409-0CEB6FE9FE0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BAFF9"/>
    <w:multiLevelType w:val="singleLevel"/>
    <w:tmpl w:val="32ABAFF9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IyODMxMjJlODM0MzNiYWNkOTEwOGE0NjIxMTEifQ=="/>
  </w:docVars>
  <w:rsids>
    <w:rsidRoot w:val="76CB6E56"/>
    <w:rsid w:val="02BE582C"/>
    <w:rsid w:val="0B50723E"/>
    <w:rsid w:val="0C450D6C"/>
    <w:rsid w:val="14A8633C"/>
    <w:rsid w:val="322546D1"/>
    <w:rsid w:val="39EE5CF0"/>
    <w:rsid w:val="494E2307"/>
    <w:rsid w:val="4FBA06F6"/>
    <w:rsid w:val="4FBF3F5F"/>
    <w:rsid w:val="59576FB6"/>
    <w:rsid w:val="61EB473F"/>
    <w:rsid w:val="64BE25DF"/>
    <w:rsid w:val="76CB6E56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styleId="7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1418</Words>
  <Characters>1418</Characters>
  <Lines>0</Lines>
  <Paragraphs>0</Paragraphs>
  <TotalTime>1</TotalTime>
  <ScaleCrop>false</ScaleCrop>
  <LinksUpToDate>false</LinksUpToDate>
  <CharactersWithSpaces>1486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2023-06-13T07:33:00Z</dcterms:created>
  <dc:creator>刘宇叶子</dc:creator>
  <cp:lastModifiedBy>刘宇叶子</cp:lastModifiedBy>
  <dcterms:modified xsi:type="dcterms:W3CDTF">2023-06-13T08:29:58Z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B832269D36AE44DD898BA5825DB0CC7E_13</vt:lpwstr>
  </property>
</Properties>
</file>