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</w:pPr>
      <w:bookmarkStart w:id="0" w:name="_Toc60063575"/>
      <w:bookmarkStart w:id="1" w:name="_Toc60063526"/>
      <w:bookmarkStart w:id="2" w:name="_Toc59178080"/>
      <w:bookmarkStart w:id="3" w:name="_Toc60063604"/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  <w:t>律师事务所财务管理制度</w:t>
      </w:r>
      <w:bookmarkEnd w:id="0"/>
      <w:bookmarkEnd w:id="1"/>
      <w:bookmarkEnd w:id="2"/>
      <w:bookmarkEnd w:id="3"/>
    </w:p>
    <w:p>
      <w:pPr>
        <w:widowControl/>
        <w:spacing w:line="500" w:lineRule="exact"/>
        <w:jc w:val="center"/>
        <w:rPr>
          <w:rFonts w:ascii="微软雅黑" w:hAnsi="微软雅黑" w:eastAsia="微软雅黑" w:cs="宋体"/>
          <w:b/>
          <w:color w:val="000000"/>
          <w:kern w:val="0"/>
          <w:sz w:val="24"/>
          <w:szCs w:val="28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4" w:name="_Toc60063527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第一章  总则</w:t>
      </w:r>
      <w:bookmarkEnd w:id="4"/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第一条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为加强律师事务所财务管理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，根据法律、法规和司法部、财政部、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税务总局的有关规定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，结合本所实际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，制定本制度。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ascii="仿宋_GB2312" w:hAnsi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二条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财务管理严格执行国家有关规定，自觉接受司法行政机关、律师协会、税务部门指导、监督和检查。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ascii="仿宋_GB2312" w:hAnsi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三条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本所建立符合实际的财务管理体系，设置相应岗位，确保财务人员依法履行职责。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第四条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本所建立统一会计制度，统一财务收支结算，所有资金往来必须经财务统一入账。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5" w:name="_Toc60063528"/>
      <w:r>
        <w:rPr>
          <w:rFonts w:ascii="黑体" w:hAnsi="黑体" w:eastAsia="黑体" w:cs="黑体"/>
          <w:color w:val="0F0508"/>
          <w:spacing w:val="-5"/>
          <w:sz w:val="28"/>
          <w:szCs w:val="32"/>
        </w:rPr>
        <w:t>第二章  基本制度</w:t>
      </w:r>
      <w:bookmarkEnd w:id="5"/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kern w:val="0"/>
          <w:sz w:val="28"/>
          <w:szCs w:val="32"/>
          <w:lang w:val="zh-CN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第五条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本所配备专职财务人员，依照国家有关规定从事财会管理工作。严格岗位责任制，做到服务准确、内容完整真实、方法正确、手续齐备。会计和出纳不得由一人兼任。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第六条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会计、出纳各自建账，分工明确，分开保管财务印鉴，互相监督，保证所内现金往来及账目准确无误，确保所内资金的安全使用。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第七条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出纳岗位的职责是按财务制度的规定，办理现金收付和银行结算业务，登记现金和银行存款日记帐，保管库存现金和各种有价证券，保管有关印章、空白收费票据和空白支票。</w:t>
      </w:r>
    </w:p>
    <w:p>
      <w:pPr>
        <w:pStyle w:val="3"/>
        <w:spacing w:line="500" w:lineRule="exact"/>
        <w:ind w:firstLine="560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color w:val="000000"/>
          <w:sz w:val="28"/>
          <w:szCs w:val="32"/>
        </w:rPr>
        <w:t>出纳因保管不善，致使现金或其他有价证券等遗失的，应承担赔偿责任。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第八条  </w:t>
      </w:r>
      <w:r>
        <w:rPr>
          <w:rFonts w:ascii="仿宋_GB2312" w:hAnsi="仿宋_GB2312" w:cs="仿宋_GB2312"/>
          <w:color w:val="000000"/>
          <w:sz w:val="28"/>
          <w:szCs w:val="32"/>
        </w:rPr>
        <w:t>会计岗位的职责是按财务制度的规定，记帐、算帐、报帐，做到手续完备，内容真实，数字准确，帐目清楚，日清月结，按期报帐。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妥善保管会计凭证、帐薄、报表等档案资料。</w:t>
      </w:r>
    </w:p>
    <w:p>
      <w:pPr>
        <w:pStyle w:val="3"/>
        <w:spacing w:line="500" w:lineRule="exact"/>
        <w:ind w:firstLine="560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color w:val="000000"/>
          <w:sz w:val="28"/>
          <w:szCs w:val="32"/>
        </w:rPr>
        <w:t>会计人员应按规定及时报送财务报告及其他财务报表。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第九条  </w:t>
      </w:r>
      <w:r>
        <w:rPr>
          <w:rFonts w:ascii="仿宋_GB2312" w:hAnsi="仿宋_GB2312" w:cs="仿宋_GB2312"/>
          <w:color w:val="000000"/>
          <w:sz w:val="28"/>
          <w:szCs w:val="32"/>
        </w:rPr>
        <w:t>本所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保证财会人员依法履行职责，不得授意、指使、强令财会人员违法办理会计事项。</w:t>
      </w:r>
    </w:p>
    <w:p>
      <w:pPr>
        <w:pStyle w:val="11"/>
        <w:spacing w:line="500" w:lineRule="exact"/>
        <w:ind w:firstLine="64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财会人员对违反国家会计制度的会计事项，有权拒绝办理或者按照职责予以纠正。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28"/>
          <w:szCs w:val="32"/>
        </w:rPr>
        <w:t xml:space="preserve">第十条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财会人员应当严格执行财务方面的法律、法规和政策，遵守财经纪律；保证会计资料真实、完整。按规定填制会计凭证，登记会计账簿，管理会计档案。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第十一条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财务人员应自觉遵守财经纪律和坚守职业道德，不得弄虚作假，不得利用工作之便擅自使用、挪用或侵占本所资金。若因违反本制度规定造成律师事务所经济损失的，由直接责任人对律师事务所进行赔偿；构成犯罪的，依法追究刑事责任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ascii="仿宋_GB2312" w:hAnsi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十二条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财务人员调动工作或离职，必须由主任（或分管合伙人）监交，与接管人员办妥交接手续，交接手续应由主任（或分管合伙人），移交人和接管人共同签字备案。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28"/>
          <w:szCs w:val="32"/>
        </w:rPr>
        <w:t xml:space="preserve">第十三条  </w:t>
      </w:r>
      <w:r>
        <w:rPr>
          <w:rFonts w:ascii="仿宋_GB2312" w:hAnsi="仿宋_GB2312" w:cs="仿宋_GB2312"/>
          <w:color w:val="000000"/>
          <w:sz w:val="28"/>
          <w:szCs w:val="32"/>
        </w:rPr>
        <w:t>本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所以公历年为会计记账年度，会计记账年度自公历</w:t>
      </w:r>
      <w:r>
        <w:rPr>
          <w:rFonts w:ascii="仿宋_GB2312" w:hAnsi="仿宋_GB2312" w:cs="仿宋_GB2312"/>
          <w:color w:val="000000"/>
          <w:sz w:val="28"/>
          <w:szCs w:val="32"/>
        </w:rPr>
        <w:t>1月1日起至12月31日止。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会计核算划分会计期间，分期结算账目和编制财务会计报表。会计期间分为年度、半年度、季度和月度。年度、半年度、季度和月度均按公历起讫日期确定。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28"/>
          <w:szCs w:val="32"/>
        </w:rPr>
        <w:t xml:space="preserve">第十四条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会计核算以人民币为记账本位币。收取外汇时，应当折合人民币记账，同时登记外汇金额和折合率。外汇应严格执行国家外汇管理政策并按规定程序缴存银行。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第十五条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会计记账采用借贷记账法，会计记录的文字使用中文。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28"/>
          <w:szCs w:val="32"/>
        </w:rPr>
        <w:t xml:space="preserve">第十六条  </w:t>
      </w:r>
      <w:r>
        <w:rPr>
          <w:rFonts w:ascii="仿宋_GB2312" w:hAnsi="仿宋_GB2312" w:cs="仿宋_GB2312"/>
          <w:color w:val="000000"/>
          <w:kern w:val="0"/>
          <w:sz w:val="28"/>
          <w:szCs w:val="32"/>
        </w:rPr>
        <w:t>财会人员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按照《中华人民共和国会计法》和有关财务制度的规定进行会计核算，符合有关会计准则和会计制度的要求，力求会计资料真实、正确、完整，保证会计信息的质量。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kern w:val="0"/>
          <w:sz w:val="28"/>
          <w:szCs w:val="32"/>
          <w:lang w:val="zh-CN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第十七条  </w:t>
      </w:r>
      <w:r>
        <w:rPr>
          <w:rFonts w:ascii="仿宋_GB2312" w:hAnsi="仿宋_GB2312" w:cs="仿宋_GB2312"/>
          <w:color w:val="000000"/>
          <w:sz w:val="28"/>
          <w:szCs w:val="32"/>
        </w:rPr>
        <w:t>会计核算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以实际发生的业务及其合法凭证为依据，如实反映财务和业务状况，做到内容真实，数据准确，项目完整，手续齐备，资料可靠。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第十八条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会计应按期编制会计报表，会计报表经负责人审批后报出。</w:t>
      </w: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6" w:name="_Toc60063529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 xml:space="preserve">第三章  </w:t>
      </w:r>
      <w:r>
        <w:rPr>
          <w:rFonts w:ascii="黑体" w:hAnsi="黑体" w:eastAsia="黑体" w:cs="黑体"/>
          <w:color w:val="0F0508"/>
          <w:spacing w:val="-5"/>
          <w:sz w:val="28"/>
          <w:szCs w:val="32"/>
        </w:rPr>
        <w:t>收费管理</w:t>
      </w:r>
      <w:bookmarkEnd w:id="6"/>
      <w:r>
        <w:rPr>
          <w:rFonts w:ascii="黑体" w:hAnsi="黑体" w:eastAsia="黑体" w:cs="黑体"/>
          <w:color w:val="0F0508"/>
          <w:spacing w:val="-5"/>
          <w:sz w:val="28"/>
          <w:szCs w:val="32"/>
        </w:rPr>
        <w:t xml:space="preserve"> 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kern w:val="0"/>
          <w:sz w:val="28"/>
          <w:szCs w:val="32"/>
          <w:lang w:val="zh-CN"/>
        </w:rPr>
      </w:pPr>
      <w:r>
        <w:rPr>
          <w:rFonts w:ascii="仿宋_GB2312" w:hAnsi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十九条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本所接受委托或担任法律顾问，必须与委托人或聘请方签订合同，并在合同中载明收费条款。上述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合同除约定收取律师服务费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</w:rPr>
        <w:t>、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代委托人支付的费用</w:t>
      </w:r>
      <w:r>
        <w:rPr>
          <w:rFonts w:hint="eastAsia" w:ascii="仿宋_GB2312" w:hAnsi="仿宋_GB2312" w:cs="仿宋_GB2312"/>
          <w:color w:val="000000"/>
          <w:sz w:val="28"/>
          <w:szCs w:val="32"/>
          <w:lang w:val="zh-CN"/>
        </w:rPr>
        <w:t>和异地办案差旅费之外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，不得以律师办案费、协调费等名义向委托人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或聘请方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收取其他费用。</w:t>
      </w:r>
    </w:p>
    <w:p>
      <w:pPr>
        <w:pStyle w:val="3"/>
        <w:spacing w:line="500" w:lineRule="exact"/>
        <w:ind w:firstLine="560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color w:val="000000"/>
          <w:sz w:val="28"/>
          <w:szCs w:val="32"/>
        </w:rPr>
        <w:t>本</w:t>
      </w:r>
      <w:r>
        <w:rPr>
          <w:rFonts w:hint="eastAsia" w:ascii="仿宋_GB2312" w:hAnsi="仿宋_GB2312" w:cs="仿宋_GB2312"/>
          <w:color w:val="000000"/>
          <w:sz w:val="28"/>
          <w:szCs w:val="32"/>
          <w:lang w:val="zh-CN"/>
        </w:rPr>
        <w:t>所可以在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上述</w:t>
      </w:r>
      <w:r>
        <w:rPr>
          <w:rFonts w:hint="eastAsia" w:ascii="仿宋_GB2312" w:hAnsi="仿宋_GB2312" w:cs="仿宋_GB2312"/>
          <w:color w:val="000000"/>
          <w:sz w:val="28"/>
          <w:szCs w:val="32"/>
          <w:lang w:val="zh-CN"/>
        </w:rPr>
        <w:t>合同或者其他提示函中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，明确告知委托人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</w:rPr>
        <w:t>或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聘请方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应当向律师事务所交纳律师服务费，不得由律师代为交纳。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ascii="仿宋_GB2312" w:hAnsi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二十条  </w:t>
      </w:r>
      <w:r>
        <w:rPr>
          <w:rFonts w:ascii="仿宋_GB2312" w:hAnsi="仿宋_GB2312" w:cs="仿宋_GB2312"/>
          <w:color w:val="000000"/>
          <w:sz w:val="28"/>
          <w:szCs w:val="32"/>
        </w:rPr>
        <w:t>律师服务费由本所财会人员统一收取，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统一入账，统一结算。其他人员不得私自向委托人或聘请方收取任何费用和其他财物。特殊情况确需由承办律师代收费用的，应当经过主任（或分管合伙人）批准同意，承办律师应当及时向财务人员交接。</w:t>
      </w:r>
      <w:r>
        <w:rPr>
          <w:rFonts w:ascii="仿宋_GB2312" w:hAnsi="仿宋_GB2312" w:cs="仿宋_GB2312"/>
          <w:color w:val="000000"/>
          <w:sz w:val="28"/>
          <w:szCs w:val="32"/>
        </w:rPr>
        <w:t xml:space="preserve"> 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b/>
          <w:color w:val="000000"/>
          <w:kern w:val="0"/>
          <w:sz w:val="28"/>
          <w:szCs w:val="32"/>
          <w:lang w:val="zh-CN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第二十一条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本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所收取律师服务费应当及时出具合法票据并如实入账，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不得收费不入账或者少入账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，不得收费不出具合法票据或者使用白条、内部收据代替合法票据。</w:t>
      </w:r>
    </w:p>
    <w:p>
      <w:pPr>
        <w:pStyle w:val="3"/>
        <w:spacing w:line="500" w:lineRule="exact"/>
        <w:ind w:firstLine="560" w:firstLineChars="200"/>
        <w:rPr>
          <w:rFonts w:ascii="仿宋_GB2312" w:hAnsi="仿宋_GB2312" w:cs="仿宋_GB2312"/>
          <w:b/>
          <w:color w:val="000000"/>
          <w:kern w:val="0"/>
          <w:sz w:val="28"/>
          <w:szCs w:val="32"/>
          <w:lang w:val="zh-CN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32"/>
        </w:rPr>
        <w:t>本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所收取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</w:rPr>
        <w:t>代委托人支付的费用和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异地办案差旅费可以开具内部收据并单独记账，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案结后应当及时与委托人结算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第二十二条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除国家和我省有关规定禁止实行风险代理的案件外</w:t>
      </w:r>
      <w:r>
        <w:rPr>
          <w:rFonts w:hint="eastAsia" w:ascii="仿宋_GB2312" w:hAnsi="仿宋_GB2312" w:cs="仿宋_GB2312"/>
          <w:bCs/>
          <w:color w:val="000000"/>
          <w:kern w:val="0"/>
          <w:sz w:val="28"/>
          <w:szCs w:val="32"/>
        </w:rPr>
        <w:t>，本所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</w:rPr>
        <w:t>实行风险代理的案件，应当与委托人约定双方应承担的风险责任、收费数额或比例及支付方式。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b/>
          <w:bCs/>
          <w:color w:val="000000"/>
          <w:sz w:val="28"/>
          <w:szCs w:val="32"/>
        </w:rPr>
      </w:pPr>
      <w:r>
        <w:rPr>
          <w:rFonts w:ascii="仿宋_GB2312" w:hAnsi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二十三条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本所律师在提供法律服务过程中代委托人支付的诉讼费、仲裁费、鉴定费、公证费和查档费等费用，不属于律师服务费的，由委托人另行支付。</w:t>
      </w:r>
      <w:r>
        <w:rPr>
          <w:rFonts w:ascii="仿宋_GB2312" w:hAnsi="仿宋_GB2312" w:cs="仿宋_GB2312"/>
          <w:color w:val="000000"/>
          <w:sz w:val="28"/>
          <w:szCs w:val="32"/>
        </w:rPr>
        <w:t xml:space="preserve"> 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第二十四条  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本所律师认为需要预收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差旅费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的，应当向委托人提供费用预算，经协商一致，由双方签字确认。确需变更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差旅费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用的，应由本所律师事先征得委托人的书面同意。承办律师可以在出差前于本所财务处预领开支费用，承办律师办结委托事项后，应当向本所提交费用使用清单及费用开支的有效凭证，与财务人员进行结算。</w:t>
      </w:r>
      <w:r>
        <w:rPr>
          <w:rFonts w:ascii="仿宋_GB2312" w:hAnsi="仿宋_GB2312" w:cs="仿宋_GB2312"/>
          <w:color w:val="000000"/>
          <w:sz w:val="28"/>
          <w:szCs w:val="32"/>
        </w:rPr>
        <w:t xml:space="preserve"> 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ascii="仿宋_GB2312" w:hAnsi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二十五条  </w:t>
      </w:r>
      <w:r>
        <w:rPr>
          <w:rFonts w:ascii="仿宋_GB2312" w:hAnsi="仿宋_GB2312" w:cs="仿宋_GB2312"/>
          <w:color w:val="000000"/>
          <w:sz w:val="28"/>
          <w:szCs w:val="32"/>
        </w:rPr>
        <w:t>收取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差旅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费和需代委托人支付的费用均由本所统一收取。律师不得私自向委托人收取任何费用。除律师服务费、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32"/>
          <w:lang w:val="zh-CN"/>
        </w:rPr>
        <w:t>差旅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费和代委托人支付的费用三项费用外，本所及承办律师不得以任何名义向委托人收取其他费用。</w:t>
      </w:r>
      <w:r>
        <w:rPr>
          <w:rFonts w:ascii="仿宋_GB2312" w:hAnsi="仿宋_GB2312" w:cs="仿宋_GB2312"/>
          <w:color w:val="000000"/>
          <w:sz w:val="28"/>
          <w:szCs w:val="32"/>
        </w:rPr>
        <w:t xml:space="preserve"> 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第二十六条  </w:t>
      </w:r>
      <w:r>
        <w:rPr>
          <w:rFonts w:ascii="仿宋_GB2312" w:hAnsi="仿宋_GB2312" w:cs="仿宋_GB2312"/>
          <w:color w:val="000000"/>
          <w:sz w:val="28"/>
          <w:szCs w:val="32"/>
        </w:rPr>
        <w:t>对确有经济困难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的委托人，经承办人申请，经主任（或分管合伙人）批准后，可以免收、减收或者缓收律师服务费。承办律师不得擅自决定免收、减收或者缓收。</w:t>
      </w:r>
      <w:r>
        <w:rPr>
          <w:rFonts w:ascii="仿宋_GB2312" w:hAnsi="仿宋_GB2312" w:cs="仿宋_GB2312"/>
          <w:color w:val="000000"/>
          <w:sz w:val="28"/>
          <w:szCs w:val="32"/>
        </w:rPr>
        <w:t xml:space="preserve"> </w:t>
      </w:r>
    </w:p>
    <w:p>
      <w:pPr>
        <w:pStyle w:val="3"/>
        <w:spacing w:line="500" w:lineRule="exact"/>
        <w:ind w:firstLine="562" w:firstLineChars="200"/>
        <w:rPr>
          <w:rFonts w:ascii="仿宋_GB2312" w:hAnsi="仿宋_GB2312" w:cs="仿宋_GB2312"/>
          <w:color w:val="000000"/>
          <w:sz w:val="28"/>
          <w:szCs w:val="32"/>
        </w:rPr>
      </w:pPr>
      <w:r>
        <w:rPr>
          <w:rFonts w:ascii="仿宋_GB2312" w:hAnsi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cs="仿宋_GB2312"/>
          <w:b/>
          <w:bCs/>
          <w:color w:val="000000"/>
          <w:sz w:val="28"/>
          <w:szCs w:val="32"/>
        </w:rPr>
        <w:t xml:space="preserve">二十七条  </w:t>
      </w:r>
      <w:r>
        <w:rPr>
          <w:rFonts w:ascii="仿宋_GB2312" w:hAnsi="仿宋_GB2312" w:cs="仿宋_GB2312"/>
          <w:color w:val="000000"/>
          <w:sz w:val="28"/>
          <w:szCs w:val="32"/>
        </w:rPr>
        <w:t>本所禁止采用低价竞争的收费方式招揽业务，不得以任何方式和名目给予他人回扣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。</w:t>
      </w:r>
      <w:r>
        <w:rPr>
          <w:rFonts w:ascii="仿宋_GB2312" w:hAnsi="仿宋_GB2312" w:cs="仿宋_GB2312"/>
          <w:color w:val="000000"/>
          <w:sz w:val="28"/>
          <w:szCs w:val="32"/>
        </w:rPr>
        <w:t xml:space="preserve"> 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7" w:name="_Toc60063530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第四章  财务管理</w:t>
      </w:r>
      <w:bookmarkEnd w:id="7"/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第二十八条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zh-CN"/>
        </w:rPr>
        <w:t>依法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设置财务账簿，并保证其真实、完整。财务账簿包括总账、明细账、日记账以及其它辅助性账簿。总分类帐簿和日记帐须使用订本式帐簿，明细分类帐使用活页式帐簿，年度终了时，须将明细分类帐的帐面按顺序编写。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本所不得设置账外账，故意隐瞒收支真实情况，偷逃税费。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二十九条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各种帐簿必须根据会计人员填制的记帐凭证记帐，记帐凭证须附原始凭证。原始凭证取得或填制时，应有责任经办人，主任（或分管合伙人）和会计人员签字。会计凭证、帐簿、资料等会计档案由专人保管，保管年限不低于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10年。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第三十条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合伙人为履行管理职责需要，可以查阅、复制本所的财务账簿。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三十一条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本所依法开设银行帐户，并按照有关规定使用和管理银行帐户，不得违规出借帐户或为他人违规套现</w:t>
      </w:r>
    </w:p>
    <w:p>
      <w:pPr>
        <w:spacing w:line="500" w:lineRule="exac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提供方便，银行账户印签使用实行三章分管并用制。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三十二条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本所加强现金管理，应当使用非现金方式结算的，不得使用现金方式结算。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三十三条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本所应当使用国家税务机关核准使用的发</w:t>
      </w:r>
    </w:p>
    <w:p>
      <w:pPr>
        <w:spacing w:line="500" w:lineRule="exac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票，并依法领用、保管和开具发票，不得转借、转让，不得到其他单位开具发票。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三十四条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本所财务印章的使用，必须经主任（或分管合伙人）批准，并按印章管理制度的规定进行登记，以保存备查。</w:t>
      </w:r>
    </w:p>
    <w:p>
      <w:pPr>
        <w:spacing w:line="500" w:lineRule="exact"/>
        <w:ind w:firstLine="562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三十五条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本所由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主任（或分管合伙人）负责财务支出的报销签字。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本所会计凭主任（或分管合伙人）签字同意报帐的有效票据，编制会计凭证；出纳凭会计编制的会计凭证付款，同时审核发票与凭证金额是否相符，否则有权要求会计予以更正。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三十六条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本所办公用品的购置费用票据，先由行政办公室经办人员签字，再经分管行政办公室的副主任（或合伙人）审核签字，最后由主任（或分管合伙人）签字批准同意后予以报销。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三十七条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本所重大固定资产的购置支出，须由合伙人会议决定后交行政办公室执行，并由主任（或分管合伙人）予以安排和监督，核实票据，签批入帐。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第三十八条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所公务差旅费、业务招待费及其它公共管理费用等日常费用的报销，须遵守所内相关规定，由主任（或分管合伙人）签批后报销入帐。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>第三十九条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 xml:space="preserve">  会计应按本所具体分配制度的规定，及时、准确核算律师应得工资或报酬金额，并统一造表，交主任（或分管合伙人）签字同意后发放。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四十条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律师在进行业务费用报销时，应在每月规定时间内持有关合法有效的费用支出票据交会计审查，并由主任（或分管合伙人）签字后予以单列报销。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四十一条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本所应按国家税收政策的规定，及时交纳有关税费，并按规定代扣代缴律师个人所得税。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第四十二条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本所应当按有关规定提取执业风险、事业发展、社会保障等基金，并预留一定的福利基金。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第四十三条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本所制定经费预算时，应按【 】的比例提取党建经费和工会活动等项经费。本所为预防执业风险，可根据经营情况购买商业保险。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第四十四条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本所年度预决算报告以及重大的财务问题，应当经合伙人会议或者个人所出资者审核。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第四十五条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年度预算报告应写明下列情况：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（一）本年度可预见的各支出项目及各项目支出数额、总额；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（二）本年度合理预测的总收入；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（三）本年度经合理预测可实现的净收入。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第四十六条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年度决算报告应写明下列情况：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（一）本年度的预算执行情况；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（二）本年度的收入、支出、结余、各项基金的提取等情况；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（三）对超支情况或违反财务管理制度的列支情况做出合理解释。</w:t>
      </w:r>
    </w:p>
    <w:p>
      <w:pPr>
        <w:spacing w:line="500" w:lineRule="exact"/>
        <w:ind w:firstLine="640"/>
        <w:jc w:val="center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8" w:name="_Toc60063531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第五章  财务监督</w:t>
      </w:r>
      <w:bookmarkEnd w:id="8"/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第四十七条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本所合伙人为了解本所的财务状况，有权查阅本所会计账簿等财务资料。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四十八条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财务人员对本所业务收支实行会计监督，对不真实、不合法的原始凭证，有权不予受理；对记载不准确、不完整的原始凭证，有权予以退回，要求更正补充；对违反国家相关规定和本所制度的收支款项有权拒绝受理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四十九条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本所定期或不定期进行财务检查，财务人员应定期进行财务自检。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第五十条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财务检查的内容包括：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（一）各项税款、会费是否按期足额交纳；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（二）各项业务收入是否合理并全部入帐；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（三）各项支出是否合理合法；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（四）会计记录是否准确，手续是否齐备，科目使用是否正确；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（五）财产是否安全、完整；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（六）专用基金的提取是否符合规定；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（七）依实际情况应检查监督的其他事项。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第五十一条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财务检查中发现的问题应当及时记录并上报本所负责人或管委会，由合伙人会议决定是否核查或作出处理。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第五十二条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加强内部会计核算管理，各内部单位、各律师必须自觉接受财务检查监督，不得隐瞒收支情况。隐瞒收支情况的，直接追究责任人的责任。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>第五十三条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 xml:space="preserve">  财务人员应对本所的财务状况及成果进行定期定量分析，着重于反映合法合规、控制费用、增收节支等要求，并提出改进建议。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第五十四条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本所年度预算、决算报告以及重大的财务事项，都应经合伙人会议审核通过。</w:t>
      </w:r>
    </w:p>
    <w:p>
      <w:pPr>
        <w:spacing w:line="500" w:lineRule="exact"/>
        <w:ind w:firstLine="2800" w:firstLineChars="1000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9" w:name="_Toc60063532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第六章  附则</w:t>
      </w:r>
      <w:bookmarkEnd w:id="9"/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五十五条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本制度由合伙人会议负责解释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和修改。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第五十六条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本制度于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日起实施。</w:t>
      </w: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30A94B-4273-4671-850C-9FD60D3275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54AEBC-D87A-45AE-A68F-A92001ECFE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A5BC63-C604-4EA5-9270-EA179087A0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02A9972-E4F6-44E9-8F24-2EDEEC70386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F4AC26E-4878-48DC-849C-FDD97294D64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10B8EB87-8DD2-4833-AD0A-3392B752484C}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BAFF9"/>
    <w:multiLevelType w:val="singleLevel"/>
    <w:tmpl w:val="32ABAFF9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76CB6E56"/>
    <w:rsid w:val="02511F45"/>
    <w:rsid w:val="02BE582C"/>
    <w:rsid w:val="09383E5F"/>
    <w:rsid w:val="0B50723E"/>
    <w:rsid w:val="0C450D6C"/>
    <w:rsid w:val="14A8633C"/>
    <w:rsid w:val="198D5B01"/>
    <w:rsid w:val="1B862808"/>
    <w:rsid w:val="21DE15EF"/>
    <w:rsid w:val="2ACF5F79"/>
    <w:rsid w:val="30314FE0"/>
    <w:rsid w:val="322546D1"/>
    <w:rsid w:val="37461371"/>
    <w:rsid w:val="39EE5CF0"/>
    <w:rsid w:val="44D0671E"/>
    <w:rsid w:val="494E2307"/>
    <w:rsid w:val="4F2935FA"/>
    <w:rsid w:val="4FBA06F6"/>
    <w:rsid w:val="4FBF3F5F"/>
    <w:rsid w:val="59576FB6"/>
    <w:rsid w:val="61EB473F"/>
    <w:rsid w:val="64BE25DF"/>
    <w:rsid w:val="76CB6E56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4"/>
    </w:rPr>
  </w:style>
  <w:style w:type="paragraph" w:styleId="3">
    <w:name w:val="Body Text Indent 3"/>
    <w:basedOn w:val="1"/>
    <w:qFormat/>
    <w:uiPriority w:val="0"/>
    <w:pPr>
      <w:spacing w:line="400" w:lineRule="exact"/>
      <w:ind w:firstLine="525"/>
    </w:pPr>
    <w:rPr>
      <w:rFonts w:ascii="Calibri" w:hAnsi="Calibri" w:eastAsia="仿宋_GB2312"/>
      <w:sz w:val="30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rFonts w:hint="default" w:ascii="Times New Roman" w:hAnsi="Times New Roman" w:eastAsia="宋体"/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styleId="9">
    <w:name w:val="annotation reference"/>
    <w:basedOn w:val="6"/>
    <w:qFormat/>
    <w:uiPriority w:val="0"/>
    <w:rPr>
      <w:sz w:val="21"/>
      <w:szCs w:val="21"/>
    </w:rPr>
  </w:style>
  <w:style w:type="character" w:customStyle="1" w:styleId="10">
    <w:name w:val="tpc_content1"/>
    <w:basedOn w:val="6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4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1271</Words>
  <Characters>1274</Characters>
  <Lines>0</Lines>
  <Paragraphs>0</Paragraphs>
  <TotalTime>1</TotalTime>
  <ScaleCrop>false</ScaleCrop>
  <LinksUpToDate>false</LinksUpToDate>
  <CharactersWithSpaces>1327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2023-06-13T07:33:00Z</dcterms:created>
  <dc:creator>刘宇叶子</dc:creator>
  <cp:lastModifiedBy>刘宇叶子</cp:lastModifiedBy>
  <dcterms:modified xsi:type="dcterms:W3CDTF">2023-06-13T09:14:39Z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FE45919C5DA64A93BE51B0677B53D511_13</vt:lpwstr>
  </property>
</Properties>
</file>